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E8DB4" w14:textId="77777777" w:rsidR="00937DD2" w:rsidRDefault="00937DD2" w:rsidP="00937DD2">
      <w:p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eastAsiaTheme="minorHAnsi"/>
          <w:b/>
          <w:bCs/>
          <w:color w:val="auto"/>
          <w:szCs w:val="28"/>
          <w:lang w:eastAsia="en-US"/>
        </w:rPr>
      </w:pPr>
      <w:r>
        <w:rPr>
          <w:rFonts w:eastAsiaTheme="minorHAnsi"/>
          <w:b/>
          <w:bCs/>
          <w:color w:val="auto"/>
          <w:szCs w:val="28"/>
          <w:lang w:eastAsia="en-US"/>
        </w:rPr>
        <w:t>Критерии доступности и качества медицинской помощи</w:t>
      </w:r>
    </w:p>
    <w:p w14:paraId="135F1D04" w14:textId="77777777" w:rsidR="00937DD2" w:rsidRDefault="00937DD2" w:rsidP="00937DD2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14:paraId="42E8E823" w14:textId="77777777" w:rsidR="00937DD2" w:rsidRDefault="00937DD2" w:rsidP="00937DD2">
      <w:pPr>
        <w:autoSpaceDE w:val="0"/>
        <w:autoSpaceDN w:val="0"/>
        <w:adjustRightInd w:val="0"/>
        <w:spacing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Критериями доступности медицинской помощи являются:</w:t>
      </w:r>
    </w:p>
    <w:p w14:paraId="7C1E5DB4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удовлетворенность населения, в том числе городского и сельского населения, доступностью медицинской помощи (процентов числа опрошенных);</w:t>
      </w:r>
    </w:p>
    <w:p w14:paraId="33FDBE2C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гарантий;</w:t>
      </w:r>
    </w:p>
    <w:p w14:paraId="28757A86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гарантий;</w:t>
      </w:r>
    </w:p>
    <w:p w14:paraId="3DEA26AB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получивших специализированную медицинскую помощь в стационарных условиях в федеральных медицинских организациях,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страхования;</w:t>
      </w:r>
    </w:p>
    <w:p w14:paraId="5ADA4C9B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населению;</w:t>
      </w:r>
    </w:p>
    <w:p w14:paraId="03B9B206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жительства;</w:t>
      </w:r>
    </w:p>
    <w:p w14:paraId="05EF503F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соглашения;</w:t>
      </w:r>
    </w:p>
    <w:p w14:paraId="48E63FFA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заболеваниями;</w:t>
      </w:r>
    </w:p>
    <w:p w14:paraId="44313169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наблюдения;</w:t>
      </w:r>
    </w:p>
    <w:p w14:paraId="2E416FF3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граждан, обеспеченных лекарственными препаратами, в общем количестве льготных категорий граждан;</w:t>
      </w:r>
    </w:p>
    <w:p w14:paraId="1F7078D9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lastRenderedPageBreak/>
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крови;</w:t>
      </w:r>
    </w:p>
    <w:p w14:paraId="38D8DFD2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помощь;</w:t>
      </w:r>
    </w:p>
    <w:p w14:paraId="730F3D99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оперативная активность на одну занятую должность врача хирургической специальности.</w:t>
      </w:r>
    </w:p>
    <w:p w14:paraId="2ABB0D45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Критериями качества медицинской помощи являются:</w:t>
      </w:r>
    </w:p>
    <w:p w14:paraId="64F8DF1D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года;</w:t>
      </w:r>
    </w:p>
    <w:p w14:paraId="3A944D94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несовершеннолетних;</w:t>
      </w:r>
    </w:p>
    <w:p w14:paraId="6670EBC6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года;</w:t>
      </w:r>
    </w:p>
    <w:p w14:paraId="1511EFF0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осмотры;</w:t>
      </w:r>
    </w:p>
    <w:p w14:paraId="6C2E77F7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новообразованиями;</w:t>
      </w:r>
    </w:p>
    <w:p w14:paraId="4DBD3E42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миокарда;</w:t>
      </w:r>
    </w:p>
    <w:p w14:paraId="700A49CF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пациентов с острым инфарктом миокарда, которым проведено </w:t>
      </w:r>
      <w:proofErr w:type="spellStart"/>
      <w:r>
        <w:rPr>
          <w:rFonts w:eastAsiaTheme="minorHAnsi"/>
          <w:color w:val="auto"/>
          <w:szCs w:val="28"/>
          <w:lang w:eastAsia="en-US"/>
        </w:rPr>
        <w:t>стентирование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коронарных артерий, в общем количестве пациентов с острым инфарктом миокарда, имеющих показания к его проведению;</w:t>
      </w:r>
    </w:p>
    <w:p w14:paraId="55BE7040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пациентов с острым и повторным инфарктом миокарда, которым выездной бригадой скорой медицинской помощи проведен </w:t>
      </w:r>
      <w:proofErr w:type="spellStart"/>
      <w:r>
        <w:rPr>
          <w:rFonts w:eastAsiaTheme="minorHAnsi"/>
          <w:color w:val="auto"/>
          <w:szCs w:val="28"/>
          <w:lang w:eastAsia="en-US"/>
        </w:rPr>
        <w:t>тромболизис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, в общем количестве пациентов с острым и повторным инфарктом миокарда, имеющих показания к его </w:t>
      </w:r>
      <w:r>
        <w:rPr>
          <w:rFonts w:eastAsiaTheme="minorHAnsi"/>
          <w:color w:val="auto"/>
          <w:szCs w:val="28"/>
          <w:lang w:eastAsia="en-US"/>
        </w:rPr>
        <w:lastRenderedPageBreak/>
        <w:t>проведению, которым оказана медицинская помощь выездными бригадами скорой медицинской помощи;</w:t>
      </w:r>
    </w:p>
    <w:p w14:paraId="05E53061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пациентов с острым инфарктом миокарда, которым проведена </w:t>
      </w:r>
      <w:proofErr w:type="spellStart"/>
      <w:r>
        <w:rPr>
          <w:rFonts w:eastAsiaTheme="minorHAnsi"/>
          <w:color w:val="auto"/>
          <w:szCs w:val="28"/>
          <w:lang w:eastAsia="en-US"/>
        </w:rPr>
        <w:t>тромболитическая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проведению;</w:t>
      </w:r>
    </w:p>
    <w:p w14:paraId="447DA6A5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Программой;</w:t>
      </w:r>
    </w:p>
    <w:p w14:paraId="236EE4A1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болезнями;</w:t>
      </w:r>
    </w:p>
    <w:p w14:paraId="7045C269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пациентов с острым ишемическим инсультом, которым проведена </w:t>
      </w:r>
      <w:proofErr w:type="spellStart"/>
      <w:r>
        <w:rPr>
          <w:rFonts w:eastAsiaTheme="minorHAnsi"/>
          <w:color w:val="auto"/>
          <w:szCs w:val="28"/>
          <w:lang w:eastAsia="en-US"/>
        </w:rPr>
        <w:t>тромболитическая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заболевания;</w:t>
      </w:r>
    </w:p>
    <w:p w14:paraId="3F4032C0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пациентов с острым ишемическим инсультом, которым проведена </w:t>
      </w:r>
      <w:proofErr w:type="spellStart"/>
      <w:r>
        <w:rPr>
          <w:rFonts w:eastAsiaTheme="minorHAnsi"/>
          <w:color w:val="auto"/>
          <w:szCs w:val="28"/>
          <w:lang w:eastAsia="en-US"/>
        </w:rPr>
        <w:t>тромболитическая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центры;</w:t>
      </w:r>
    </w:p>
    <w:p w14:paraId="1CE7CC4A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помощи;</w:t>
      </w:r>
    </w:p>
    <w:p w14:paraId="0394F2E0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получающих лечебное (</w:t>
      </w:r>
      <w:proofErr w:type="spellStart"/>
      <w:r>
        <w:rPr>
          <w:rFonts w:eastAsiaTheme="minorHAnsi"/>
          <w:color w:val="auto"/>
          <w:szCs w:val="28"/>
          <w:lang w:eastAsia="en-US"/>
        </w:rPr>
        <w:t>энтеральное</w:t>
      </w:r>
      <w:proofErr w:type="spellEnd"/>
      <w:r>
        <w:rPr>
          <w:rFonts w:eastAsiaTheme="minorHAnsi"/>
          <w:color w:val="auto"/>
          <w:szCs w:val="28"/>
          <w:lang w:eastAsia="en-US"/>
        </w:rPr>
        <w:t>) питание в рамках оказания паллиативной медицинской помощи, в общем количестве пациентов, нуждающихся в лечебном (</w:t>
      </w:r>
      <w:proofErr w:type="spellStart"/>
      <w:r>
        <w:rPr>
          <w:rFonts w:eastAsiaTheme="minorHAnsi"/>
          <w:color w:val="auto"/>
          <w:szCs w:val="28"/>
          <w:lang w:eastAsia="en-US"/>
        </w:rPr>
        <w:t>энтеральном</w:t>
      </w:r>
      <w:proofErr w:type="spellEnd"/>
      <w:r>
        <w:rPr>
          <w:rFonts w:eastAsiaTheme="minorHAnsi"/>
          <w:color w:val="auto"/>
          <w:szCs w:val="28"/>
          <w:lang w:eastAsia="en-US"/>
        </w:rPr>
        <w:t>) питании при оказании паллиативной медицинской помощи;</w:t>
      </w:r>
    </w:p>
    <w:p w14:paraId="04363380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лиц репродуктивного возраста, прошедших диспансеризацию для оценки репродуктивного здоровья женщин и мужчин (отдельно по мужчинам и женщинам);</w:t>
      </w:r>
    </w:p>
    <w:p w14:paraId="2E626ADA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"Женское бесплодие";</w:t>
      </w:r>
    </w:p>
    <w:p w14:paraId="10A9ED43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lastRenderedPageBreak/>
        <w:t>число циклов экстракорпорального оплодотворения, выполняемых медицинской организацией, в течение одного года;</w:t>
      </w:r>
    </w:p>
    <w:p w14:paraId="61FFE26D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случаев экстракорпорального оплодотворения, по результатам которого у женщины наступила беременность;</w:t>
      </w:r>
    </w:p>
    <w:p w14:paraId="309E6D8E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эмбрионов);</w:t>
      </w:r>
    </w:p>
    <w:p w14:paraId="48DDA106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государственных гарантий;</w:t>
      </w:r>
    </w:p>
    <w:p w14:paraId="7977451C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охват диспансерным наблюдением граждан, состоящих на учете в медицинской организации с диагнозом "хроническая обструктивная болезнь легких", процентов в год;</w:t>
      </w:r>
    </w:p>
    <w:p w14:paraId="6FA32C85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обеспечение;</w:t>
      </w:r>
    </w:p>
    <w:p w14:paraId="61EFD324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охват диспансерным наблюдением граждан, состоящих на учете в медицинской организации с диагнозом "гипертоническая болезнь", процентов в год;</w:t>
      </w:r>
    </w:p>
    <w:p w14:paraId="4883EA6A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охват диспансерным наблюдением граждан, состоящих на учете в медицинской организации с диагнозом "сахарный диабет", процентов в год;</w:t>
      </w:r>
    </w:p>
    <w:p w14:paraId="07C4B24A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количество пациентов с гепатитом C, получивших противовирусную терапию, на 100 тыс. населения в год;</w:t>
      </w:r>
    </w:p>
    <w:p w14:paraId="1FF862D4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ветеранов боевых действий, получивших паллиативную медицинскую помощь и (или) лечебное (</w:t>
      </w:r>
      <w:proofErr w:type="spellStart"/>
      <w:r>
        <w:rPr>
          <w:rFonts w:eastAsiaTheme="minorHAnsi"/>
          <w:color w:val="auto"/>
          <w:szCs w:val="28"/>
          <w:lang w:eastAsia="en-US"/>
        </w:rPr>
        <w:t>энтеральное</w:t>
      </w:r>
      <w:proofErr w:type="spellEnd"/>
      <w:r>
        <w:rPr>
          <w:rFonts w:eastAsiaTheme="minorHAnsi"/>
          <w:color w:val="auto"/>
          <w:szCs w:val="28"/>
          <w:lang w:eastAsia="en-US"/>
        </w:rPr>
        <w:t>) питание, из числа нуждающихся;</w:t>
      </w:r>
    </w:p>
    <w:p w14:paraId="16F41D5C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диагноза.</w:t>
      </w:r>
    </w:p>
    <w:p w14:paraId="2E170AB2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Территориальной программой государственных гарантий устанавливаются целевые значения критериев доступности и качества медицинской помощи, на основе которых проводится комплексная оценка их уровня и динамики, а также могут быть установлены дополнительные критерии доступности и качества медицинской помощи.</w:t>
      </w:r>
    </w:p>
    <w:p w14:paraId="450211F3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lastRenderedPageBreak/>
        <w:t>Целевые значения критериев доступности и качества медицинской помощи на соответствующий год не могут отличаться от значений показателей и (или) результатов, установленных в федеральных проектах национального проекта "Продолжительная и активная жизнь", в том числе в Федеральном проекте "Здоровье для каждого".</w:t>
      </w:r>
    </w:p>
    <w:p w14:paraId="7B777575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Федерации.</w:t>
      </w:r>
    </w:p>
    <w:p w14:paraId="30E21612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Кроме того, субъектами Российской Федерации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</w:t>
      </w:r>
    </w:p>
    <w:p w14:paraId="6C758116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Критериями доступности медицинской помощи, оказываемой федеральными медицинскими организациями, являются:</w:t>
      </w:r>
    </w:p>
    <w:p w14:paraId="72E60CF2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доля объема средств, направленных на оказание специализированной, в том числе высокотехнологичной, медицинской помощи с коэффициентом относительной </w:t>
      </w:r>
      <w:proofErr w:type="spellStart"/>
      <w:r>
        <w:rPr>
          <w:rFonts w:eastAsiaTheme="minorHAnsi"/>
          <w:color w:val="auto"/>
          <w:szCs w:val="28"/>
          <w:lang w:eastAsia="en-US"/>
        </w:rPr>
        <w:t>затратоемкости</w:t>
      </w:r>
      <w:proofErr w:type="spellEnd"/>
      <w:r>
        <w:rPr>
          <w:rFonts w:eastAsiaTheme="minorHAnsi"/>
          <w:color w:val="auto"/>
          <w:szCs w:val="28"/>
          <w:lang w:eastAsia="en-US"/>
        </w:rPr>
        <w:t>, равным 2 и более, в общем объеме средств, направленных на оказание специализированной, в том числе высокотехнологичной, медицинской помощи (для образовательных организаций высшего образования, осуществляющих оказание медицинской помощи в 2025 - 2027 годах, не менее 65 процентов, для остальных федеральных медицинских организаций в 2025 году - не менее 75 процентов, в 2026 - 2027 годах - не менее 80 процентов (за исключением федеральных медицинских организаций, являющихся единственными медицинскими организациями в конкретном населенном пункте и имеющих прикрепленное население);</w:t>
      </w:r>
    </w:p>
    <w:p w14:paraId="7E8B85BD" w14:textId="77777777" w:rsidR="00937DD2" w:rsidRDefault="00937DD2" w:rsidP="00937DD2">
      <w:pPr>
        <w:autoSpaceDE w:val="0"/>
        <w:autoSpaceDN w:val="0"/>
        <w:adjustRightInd w:val="0"/>
        <w:spacing w:before="280" w:after="0" w:line="240" w:lineRule="auto"/>
        <w:ind w:left="0" w:firstLine="540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доля доходов за счет средств обязательного медицинского страхования в общем объеме доходов федеральной медицинской организации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страхования, - не менее 20 процентов).</w:t>
      </w:r>
    </w:p>
    <w:p w14:paraId="2F6DE512" w14:textId="77777777" w:rsidR="00EC469D" w:rsidRPr="00937DD2" w:rsidRDefault="00937DD2" w:rsidP="00937DD2"/>
    <w:sectPr w:rsidR="00EC469D" w:rsidRPr="00937DD2" w:rsidSect="00746749">
      <w:headerReference w:type="even" r:id="rId7"/>
      <w:headerReference w:type="default" r:id="rId8"/>
      <w:headerReference w:type="first" r:id="rId9"/>
      <w:footnotePr>
        <w:numRestart w:val="eachPage"/>
      </w:footnotePr>
      <w:pgSz w:w="11900" w:h="16820"/>
      <w:pgMar w:top="1440" w:right="557" w:bottom="1440" w:left="1140" w:header="44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023B" w14:textId="77777777" w:rsidR="00563B9E" w:rsidRDefault="00191C52">
      <w:pPr>
        <w:spacing w:after="0" w:line="240" w:lineRule="auto"/>
      </w:pPr>
      <w:r>
        <w:separator/>
      </w:r>
    </w:p>
  </w:endnote>
  <w:endnote w:type="continuationSeparator" w:id="0">
    <w:p w14:paraId="1ADE0384" w14:textId="77777777" w:rsidR="00563B9E" w:rsidRDefault="0019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9AF12" w14:textId="77777777" w:rsidR="00563B9E" w:rsidRDefault="00191C52">
      <w:pPr>
        <w:spacing w:after="0" w:line="240" w:lineRule="auto"/>
      </w:pPr>
      <w:r>
        <w:separator/>
      </w:r>
    </w:p>
  </w:footnote>
  <w:footnote w:type="continuationSeparator" w:id="0">
    <w:p w14:paraId="7190D9EA" w14:textId="77777777" w:rsidR="00563B9E" w:rsidRDefault="00191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D37D" w14:textId="77777777" w:rsidR="0042156F" w:rsidRDefault="0074674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1F7E1" w14:textId="77777777" w:rsidR="0042156F" w:rsidRDefault="0074674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1C52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488E" w14:textId="77777777" w:rsidR="0042156F" w:rsidRDefault="0074674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25"/>
    <w:multiLevelType w:val="hybridMultilevel"/>
    <w:tmpl w:val="F33E2038"/>
    <w:lvl w:ilvl="0" w:tplc="66101118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2055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7CDC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5ADB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B8E6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88D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B6F5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4074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DC6F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2B2570"/>
    <w:multiLevelType w:val="multilevel"/>
    <w:tmpl w:val="D994860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5C282E"/>
    <w:multiLevelType w:val="hybridMultilevel"/>
    <w:tmpl w:val="2C4493C0"/>
    <w:lvl w:ilvl="0" w:tplc="C87E26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B4A73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18A3C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D4BA8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28E52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8A9A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2257B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5C1FB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3231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91F65"/>
    <w:multiLevelType w:val="multilevel"/>
    <w:tmpl w:val="199A72F8"/>
    <w:lvl w:ilvl="0">
      <w:start w:val="7"/>
      <w:numFmt w:val="decimal"/>
      <w:lvlText w:val="%1.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075950"/>
    <w:multiLevelType w:val="multilevel"/>
    <w:tmpl w:val="243A1A1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3"/>
      <w:numFmt w:val="decimal"/>
      <w:lvlRestart w:val="0"/>
      <w:lvlText w:val="%1.%2.%3.%4.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E04A8C"/>
    <w:multiLevelType w:val="hybridMultilevel"/>
    <w:tmpl w:val="4CD04DC2"/>
    <w:lvl w:ilvl="0" w:tplc="6AEAFB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E66F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AC003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E26A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16A1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9E8EE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1C8D9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02C4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5A78B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E41810"/>
    <w:multiLevelType w:val="multilevel"/>
    <w:tmpl w:val="A7D63A5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875264"/>
    <w:multiLevelType w:val="hybridMultilevel"/>
    <w:tmpl w:val="33C43436"/>
    <w:lvl w:ilvl="0" w:tplc="48F2E8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0007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9CD9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E4976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AE8F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90DF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674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9E685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02DC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8A2534"/>
    <w:multiLevelType w:val="multilevel"/>
    <w:tmpl w:val="0E88CD0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C26FBA"/>
    <w:multiLevelType w:val="multilevel"/>
    <w:tmpl w:val="E682ACD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326532"/>
    <w:multiLevelType w:val="multilevel"/>
    <w:tmpl w:val="D966BAC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A50333"/>
    <w:multiLevelType w:val="hybridMultilevel"/>
    <w:tmpl w:val="DDC43024"/>
    <w:lvl w:ilvl="0" w:tplc="31D8B0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2C81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7E3AB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0605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FC89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24A56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E216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4AD1B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D675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8832C6"/>
    <w:multiLevelType w:val="hybridMultilevel"/>
    <w:tmpl w:val="11B0D91C"/>
    <w:lvl w:ilvl="0" w:tplc="8AD447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42E7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B4FD0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32E9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638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0A2B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76FB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5C82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7473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CC4DB0"/>
    <w:multiLevelType w:val="multilevel"/>
    <w:tmpl w:val="23143028"/>
    <w:lvl w:ilvl="0">
      <w:start w:val="3"/>
      <w:numFmt w:val="decimal"/>
      <w:lvlText w:val="%1.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884E96"/>
    <w:multiLevelType w:val="multilevel"/>
    <w:tmpl w:val="24C8546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D742A6"/>
    <w:multiLevelType w:val="multilevel"/>
    <w:tmpl w:val="3BE4EA6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001E0F"/>
    <w:multiLevelType w:val="hybridMultilevel"/>
    <w:tmpl w:val="BC3280F4"/>
    <w:lvl w:ilvl="0" w:tplc="A4D2ADEA">
      <w:start w:val="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63E22E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CB30AB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FBE8B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CC7432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0ACC3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4D3C80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2FEA79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CB786E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7" w15:restartNumberingAfterBreak="0">
    <w:nsid w:val="34DF02C4"/>
    <w:multiLevelType w:val="hybridMultilevel"/>
    <w:tmpl w:val="985691FA"/>
    <w:lvl w:ilvl="0" w:tplc="92BA93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8ACA2A">
      <w:start w:val="1"/>
      <w:numFmt w:val="decimal"/>
      <w:lvlRestart w:val="0"/>
      <w:lvlText w:val="%2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3653FA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8CEE6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6A98CC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8FCE2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2C467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849156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A639A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341EC9"/>
    <w:multiLevelType w:val="hybridMultilevel"/>
    <w:tmpl w:val="9E8AC304"/>
    <w:lvl w:ilvl="0" w:tplc="EF00538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C8E7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BA65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08E3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18CA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90A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DCC7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6EDC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001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5D39AC"/>
    <w:multiLevelType w:val="multilevel"/>
    <w:tmpl w:val="520C17E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5E7054"/>
    <w:multiLevelType w:val="multilevel"/>
    <w:tmpl w:val="30883F6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4"/>
      <w:numFmt w:val="decimal"/>
      <w:lvlText w:val="%1.%2.%3.%4"/>
      <w:lvlJc w:val="left"/>
      <w:pPr>
        <w:ind w:left="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Restart w:val="0"/>
      <w:lvlText w:val="%1.%2.%3.%4.%5."/>
      <w:lvlJc w:val="left"/>
      <w:pPr>
        <w:ind w:left="1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4FB07A9"/>
    <w:multiLevelType w:val="multilevel"/>
    <w:tmpl w:val="1BDC3E7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BA07CF1"/>
    <w:multiLevelType w:val="multilevel"/>
    <w:tmpl w:val="0FFE03A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decimal"/>
      <w:lvlText w:val="%1.%2.%3.%4"/>
      <w:lvlJc w:val="left"/>
      <w:pPr>
        <w:ind w:left="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Restart w:val="0"/>
      <w:lvlText w:val="%1.%2.%3.%4.%5."/>
      <w:lvlJc w:val="left"/>
      <w:pPr>
        <w:ind w:left="1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EF3C4F"/>
    <w:multiLevelType w:val="hybridMultilevel"/>
    <w:tmpl w:val="A8B6C3F4"/>
    <w:lvl w:ilvl="0" w:tplc="F1AC1DA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D6E5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6679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2679C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BA1C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5070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8ABD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28821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A0B44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3D5863"/>
    <w:multiLevelType w:val="hybridMultilevel"/>
    <w:tmpl w:val="12DCD6CE"/>
    <w:lvl w:ilvl="0" w:tplc="150250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9E7F7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4C1D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2E9C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8C03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C4852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60C84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E268F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6AC4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577B7D"/>
    <w:multiLevelType w:val="multilevel"/>
    <w:tmpl w:val="853CEAA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5"/>
      <w:numFmt w:val="decimal"/>
      <w:lvlRestart w:val="0"/>
      <w:lvlText w:val="%1.%2.%3.%4.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677493"/>
    <w:multiLevelType w:val="multilevel"/>
    <w:tmpl w:val="14A2C7C4"/>
    <w:lvl w:ilvl="0">
      <w:start w:val="5"/>
      <w:numFmt w:val="decimal"/>
      <w:lvlText w:val="%1."/>
      <w:lvlJc w:val="left"/>
      <w:pPr>
        <w:ind w:left="2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4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867DFA"/>
    <w:multiLevelType w:val="multilevel"/>
    <w:tmpl w:val="6E46F4A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581975"/>
    <w:multiLevelType w:val="multilevel"/>
    <w:tmpl w:val="A602175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53437DD"/>
    <w:multiLevelType w:val="hybridMultilevel"/>
    <w:tmpl w:val="B76A126A"/>
    <w:lvl w:ilvl="0" w:tplc="CEFC2E5C">
      <w:start w:val="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EB84B5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66C047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EE1C64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39D2B8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678E51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A7B2D7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698A48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7D1044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6C3D209C"/>
    <w:multiLevelType w:val="hybridMultilevel"/>
    <w:tmpl w:val="61CA0D62"/>
    <w:lvl w:ilvl="0" w:tplc="DCB6D796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48D811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951A9B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8DD008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DA44F4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FF9A68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47CEB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15A22F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A9F0D1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1" w15:restartNumberingAfterBreak="0">
    <w:nsid w:val="6FD62CE4"/>
    <w:multiLevelType w:val="multilevel"/>
    <w:tmpl w:val="CA0247E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3"/>
      <w:numFmt w:val="decimal"/>
      <w:lvlText w:val="%1.%2.%3.%4"/>
      <w:lvlJc w:val="left"/>
      <w:pPr>
        <w:ind w:left="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Restart w:val="0"/>
      <w:lvlText w:val="%1.%2.%3.%4.%5."/>
      <w:lvlJc w:val="left"/>
      <w:pPr>
        <w:ind w:left="1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0955C50"/>
    <w:multiLevelType w:val="multilevel"/>
    <w:tmpl w:val="8C22994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3C066AB"/>
    <w:multiLevelType w:val="multilevel"/>
    <w:tmpl w:val="FB5C818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4AD62BE"/>
    <w:multiLevelType w:val="hybridMultilevel"/>
    <w:tmpl w:val="CDEC7C64"/>
    <w:lvl w:ilvl="0" w:tplc="860CE1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7631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4AF1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7274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F098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D690A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68AC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1056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1492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57010BE"/>
    <w:multiLevelType w:val="multilevel"/>
    <w:tmpl w:val="0B88C73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AA55B6B"/>
    <w:multiLevelType w:val="multilevel"/>
    <w:tmpl w:val="B1580F9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FB35D33"/>
    <w:multiLevelType w:val="hybridMultilevel"/>
    <w:tmpl w:val="89F042E4"/>
    <w:lvl w:ilvl="0" w:tplc="7A8A7D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D620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7E573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38343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108A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AAA7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449B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663B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FA10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3"/>
  </w:num>
  <w:num w:numId="5">
    <w:abstractNumId w:val="37"/>
  </w:num>
  <w:num w:numId="6">
    <w:abstractNumId w:val="7"/>
  </w:num>
  <w:num w:numId="7">
    <w:abstractNumId w:val="26"/>
  </w:num>
  <w:num w:numId="8">
    <w:abstractNumId w:val="11"/>
  </w:num>
  <w:num w:numId="9">
    <w:abstractNumId w:val="14"/>
  </w:num>
  <w:num w:numId="10">
    <w:abstractNumId w:val="19"/>
  </w:num>
  <w:num w:numId="11">
    <w:abstractNumId w:val="33"/>
  </w:num>
  <w:num w:numId="12">
    <w:abstractNumId w:val="32"/>
  </w:num>
  <w:num w:numId="13">
    <w:abstractNumId w:val="36"/>
  </w:num>
  <w:num w:numId="14">
    <w:abstractNumId w:val="8"/>
  </w:num>
  <w:num w:numId="15">
    <w:abstractNumId w:val="35"/>
  </w:num>
  <w:num w:numId="16">
    <w:abstractNumId w:val="21"/>
  </w:num>
  <w:num w:numId="17">
    <w:abstractNumId w:val="31"/>
  </w:num>
  <w:num w:numId="18">
    <w:abstractNumId w:val="4"/>
  </w:num>
  <w:num w:numId="19">
    <w:abstractNumId w:val="22"/>
  </w:num>
  <w:num w:numId="20">
    <w:abstractNumId w:val="20"/>
  </w:num>
  <w:num w:numId="21">
    <w:abstractNumId w:val="27"/>
  </w:num>
  <w:num w:numId="22">
    <w:abstractNumId w:val="10"/>
  </w:num>
  <w:num w:numId="23">
    <w:abstractNumId w:val="25"/>
  </w:num>
  <w:num w:numId="24">
    <w:abstractNumId w:val="28"/>
  </w:num>
  <w:num w:numId="25">
    <w:abstractNumId w:val="15"/>
  </w:num>
  <w:num w:numId="26">
    <w:abstractNumId w:val="9"/>
  </w:num>
  <w:num w:numId="27">
    <w:abstractNumId w:val="3"/>
  </w:num>
  <w:num w:numId="28">
    <w:abstractNumId w:val="0"/>
  </w:num>
  <w:num w:numId="29">
    <w:abstractNumId w:val="30"/>
  </w:num>
  <w:num w:numId="30">
    <w:abstractNumId w:val="29"/>
  </w:num>
  <w:num w:numId="31">
    <w:abstractNumId w:val="16"/>
  </w:num>
  <w:num w:numId="32">
    <w:abstractNumId w:val="34"/>
  </w:num>
  <w:num w:numId="33">
    <w:abstractNumId w:val="12"/>
  </w:num>
  <w:num w:numId="34">
    <w:abstractNumId w:val="2"/>
  </w:num>
  <w:num w:numId="35">
    <w:abstractNumId w:val="24"/>
  </w:num>
  <w:num w:numId="36">
    <w:abstractNumId w:val="6"/>
  </w:num>
  <w:num w:numId="37">
    <w:abstractNumId w:val="1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749"/>
    <w:rsid w:val="00191C52"/>
    <w:rsid w:val="00563B9E"/>
    <w:rsid w:val="0062495D"/>
    <w:rsid w:val="00746749"/>
    <w:rsid w:val="00937DD2"/>
    <w:rsid w:val="00D0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CB25B"/>
  <w15:chartTrackingRefBased/>
  <w15:docId w15:val="{DA97A83D-7E2E-4126-B9EB-0024AB42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749"/>
    <w:pPr>
      <w:spacing w:after="7" w:line="245" w:lineRule="auto"/>
      <w:ind w:left="-15"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746749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descriptionChar">
    <w:name w:val="footnote description Char"/>
    <w:link w:val="footnotedescription"/>
    <w:rsid w:val="00746749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mark">
    <w:name w:val="footnote mark"/>
    <w:hidden/>
    <w:rsid w:val="00746749"/>
    <w:rPr>
      <w:rFonts w:ascii="Times New Roman" w:eastAsia="Times New Roman" w:hAnsi="Times New Roman" w:cs="Times New Roman"/>
      <w:color w:val="000000"/>
      <w:sz w:val="21"/>
      <w:vertAlign w:val="superscript"/>
    </w:rPr>
  </w:style>
  <w:style w:type="table" w:customStyle="1" w:styleId="TableGrid">
    <w:name w:val="TableGrid"/>
    <w:rsid w:val="007467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Руфина Бисенова</dc:creator>
  <cp:keywords/>
  <dc:description/>
  <cp:lastModifiedBy>Бжания Татиа Демуриевна</cp:lastModifiedBy>
  <cp:revision>3</cp:revision>
  <dcterms:created xsi:type="dcterms:W3CDTF">2023-01-30T08:01:00Z</dcterms:created>
  <dcterms:modified xsi:type="dcterms:W3CDTF">2025-06-09T07:54:00Z</dcterms:modified>
</cp:coreProperties>
</file>